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ind w:right="5.66929133858309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PREMIAÇÃO CULTURAL - FOMENTO À EXIBIÇÃO, PRESERVAÇÃO E EMPRESAS DO AUDIOVISUAL CEARENSE - LEI PAULO GUSTAVO</w:t>
      </w:r>
      <w:r w:rsidDel="00000000" w:rsidR="00000000" w:rsidRPr="00000000">
        <w:rPr>
          <w:rtl w:val="0"/>
        </w:rPr>
      </w:r>
    </w:p>
    <w:p w:rsidR="00000000" w:rsidDel="00000000" w:rsidP="00000000" w:rsidRDefault="00000000" w:rsidRPr="00000000" w14:paraId="00000003">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10 -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4">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D">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2">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inscrição</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V/svClopNHyW+GSQam5LQX0JQ==">CgMxLjAyCGguZ2pkZ3hzOAByITFVSG9YT0NkYk9meVVEWW84ZklYM3Nmek1Fckd0M05DWA==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